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-5714</wp:posOffset>
                </wp:positionH>
                <wp:positionV relativeFrom="paragraph">
                  <wp:posOffset>-184784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0.45pt;mso-position-horizontal:absolute;mso-position-vertical-relative:text;margin-top:-14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7"/>
          <w:szCs w:val="27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7"/>
          <w:szCs w:val="27"/>
        </w:rPr>
      </w:pPr>
      <w:r>
        <w:rPr>
          <w:rStyle w:val="UserStyle_60"/>
          <w:b/>
          <w:bCs/>
          <w:sz w:val="27"/>
          <w:szCs w:val="27"/>
        </w:rPr>
        <w:t xml:space="preserve">02</w:t>
      </w:r>
      <w:r>
        <w:rPr>
          <w:rStyle w:val="UserStyle_60"/>
          <w:b/>
          <w:bCs/>
          <w:sz w:val="27"/>
          <w:szCs w:val="27"/>
        </w:rPr>
        <w:t xml:space="preserve">.</w:t>
      </w:r>
      <w:r>
        <w:rPr>
          <w:rStyle w:val="UserStyle_60"/>
          <w:b/>
          <w:bCs/>
          <w:sz w:val="27"/>
          <w:szCs w:val="27"/>
        </w:rPr>
        <w:t xml:space="preserve">1</w:t>
      </w:r>
      <w:r>
        <w:rPr>
          <w:rStyle w:val="UserStyle_60"/>
          <w:b/>
          <w:bCs/>
          <w:sz w:val="27"/>
          <w:szCs w:val="27"/>
        </w:rPr>
        <w:t xml:space="preserve">2</w:t>
      </w:r>
      <w:r>
        <w:rPr>
          <w:rStyle w:val="UserStyle_60"/>
          <w:b/>
          <w:bCs/>
          <w:sz w:val="27"/>
          <w:szCs w:val="27"/>
        </w:rPr>
        <w:t xml:space="preserve">.2</w:t>
      </w:r>
      <w:r>
        <w:rPr>
          <w:rStyle w:val="UserStyle_60"/>
          <w:b/>
          <w:bCs/>
          <w:sz w:val="27"/>
          <w:szCs w:val="27"/>
        </w:rPr>
        <w:t xml:space="preserve">024</w:t>
      </w:r>
      <w:r>
        <w:rPr>
          <w:rStyle w:val="UserStyle_60"/>
          <w:bCs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проведении электронных сделок с недвижимостью рассказали на заседании Общественного совета при Управлении Росреестра</w:t>
      </w: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Управлении Росреестра по Челябинской области состоялось очередное заседание Общественного совета.</w:t>
      </w:r>
      <w:r>
        <w:rPr>
          <w:b/>
          <w:sz w:val="27"/>
          <w:szCs w:val="27"/>
        </w:rPr>
        <w:t xml:space="preserve"> Участники мероприятия разобрали ряд актуальных вопросов.</w:t>
      </w:r>
      <w:r>
        <w:rPr>
          <w:b/>
          <w:sz w:val="27"/>
          <w:szCs w:val="27"/>
        </w:rPr>
      </w:r>
    </w:p>
    <w:p>
      <w:pPr>
        <w:pStyle w:val="Normal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минувшую пятницу </w:t>
      </w:r>
      <w:r>
        <w:rPr>
          <w:sz w:val="27"/>
          <w:szCs w:val="27"/>
        </w:rPr>
        <w:t xml:space="preserve">прошло предпоследнее в </w:t>
      </w:r>
      <w:r>
        <w:rPr>
          <w:sz w:val="27"/>
          <w:szCs w:val="27"/>
        </w:rPr>
        <w:t xml:space="preserve">текущем</w:t>
      </w:r>
      <w:r>
        <w:rPr>
          <w:sz w:val="27"/>
          <w:szCs w:val="27"/>
        </w:rPr>
        <w:t xml:space="preserve"> году заседание Общественного совета при Управлении Росреестра. </w:t>
      </w:r>
      <w:r>
        <w:rPr>
          <w:sz w:val="27"/>
          <w:szCs w:val="27"/>
        </w:rPr>
        <w:t xml:space="preserve">После приветственных слов председателя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"https://vk.com/obsh_sov74" </w:instrText>
      </w:r>
      <w:r>
        <w:rPr>
          <w:sz w:val="27"/>
          <w:szCs w:val="27"/>
        </w:rPr>
        <w:fldChar w:fldCharType="separate"/>
      </w:r>
      <w:r>
        <w:rPr>
          <w:sz w:val="27"/>
          <w:szCs w:val="27"/>
        </w:rPr>
        <w:t xml:space="preserve">Общественного совета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Натальи Ситниковой</w:t>
      </w:r>
      <w:r>
        <w:rPr>
          <w:sz w:val="27"/>
          <w:szCs w:val="27"/>
        </w:rPr>
        <w:t xml:space="preserve"> был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 заслушан</w:t>
      </w:r>
      <w:r>
        <w:rPr>
          <w:sz w:val="27"/>
          <w:szCs w:val="27"/>
        </w:rPr>
        <w:t xml:space="preserve">ы</w:t>
      </w:r>
      <w:r>
        <w:rPr>
          <w:sz w:val="27"/>
          <w:szCs w:val="27"/>
        </w:rPr>
        <w:t xml:space="preserve"> доклад</w:t>
      </w:r>
      <w:r>
        <w:rPr>
          <w:sz w:val="27"/>
          <w:szCs w:val="27"/>
        </w:rPr>
        <w:t xml:space="preserve">ы</w:t>
      </w:r>
      <w:r>
        <w:rPr>
          <w:sz w:val="27"/>
          <w:szCs w:val="27"/>
        </w:rPr>
        <w:t xml:space="preserve"> по актуальным вопросам деятельности.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Заседание Общественного совета началось с доклада о результатах исполнения </w:t>
      </w:r>
      <w:r>
        <w:rPr>
          <w:sz w:val="27"/>
          <w:szCs w:val="27"/>
        </w:rPr>
        <w:t xml:space="preserve">п</w:t>
      </w:r>
      <w:r>
        <w:rPr>
          <w:sz w:val="27"/>
          <w:szCs w:val="27"/>
        </w:rPr>
        <w:t xml:space="preserve">еречня поручений Президента РФ по вопросам реализации государственной программы «Национальная система пространственных данных», который представила начальник отдела организации и контроля Управления Росреестра Эрика Столярова</w:t>
      </w:r>
      <w:r>
        <w:rPr>
          <w:sz w:val="27"/>
          <w:szCs w:val="27"/>
        </w:rPr>
        <w:t xml:space="preserve">.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Далее о </w:t>
      </w:r>
      <w:r>
        <w:rPr>
          <w:sz w:val="27"/>
          <w:szCs w:val="27"/>
        </w:rPr>
        <w:t xml:space="preserve">проведении электронных сделок с недвижимостью рассказала начальник отдела координации и анализа деятельности в учетно-регистрационной сфере Юлия Коваленко.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рамках своего доклада, </w:t>
      </w:r>
      <w:r>
        <w:rPr>
          <w:sz w:val="27"/>
          <w:szCs w:val="27"/>
        </w:rPr>
        <w:t xml:space="preserve">она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отметила, что обеспечение возможности электронного формата представления документов, как одной из необходимых составляющих цифровизации Росреестра, имеет принципиальное значение в повышении качества и доступности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предоставляемых Росреестром госуслуг. Это происходит не только посредством сокращения сроков, но и создания комфортных, удобных и безопасных условий для их предоставления.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Спикер также</w:t>
      </w:r>
      <w:r>
        <w:rPr>
          <w:sz w:val="27"/>
          <w:szCs w:val="27"/>
        </w:rPr>
        <w:t xml:space="preserve"> рассказала собравшимся, что в настоящее время </w:t>
      </w:r>
      <w:r>
        <w:rPr>
          <w:sz w:val="27"/>
          <w:szCs w:val="27"/>
        </w:rPr>
        <w:t xml:space="preserve">южноуральцы</w:t>
      </w:r>
      <w:r>
        <w:rPr>
          <w:sz w:val="27"/>
          <w:szCs w:val="27"/>
        </w:rPr>
        <w:t xml:space="preserve"> могут подать документы в электронном виде </w:t>
      </w:r>
      <w:r>
        <w:rPr>
          <w:sz w:val="27"/>
          <w:szCs w:val="27"/>
        </w:rPr>
        <w:t xml:space="preserve">несколькими способами: </w:t>
      </w:r>
      <w:r>
        <w:rPr>
          <w:sz w:val="27"/>
          <w:szCs w:val="27"/>
        </w:rPr>
        <w:t xml:space="preserve">через сервис «Личный кабинет», размещенный на сайте Росреестра, портал Госуслуг и иные информационные технологии взаимодействия с </w:t>
      </w:r>
      <w:r>
        <w:rPr>
          <w:sz w:val="27"/>
          <w:szCs w:val="27"/>
        </w:rPr>
        <w:t xml:space="preserve">ведомством</w:t>
      </w:r>
      <w:r>
        <w:rPr>
          <w:sz w:val="27"/>
          <w:szCs w:val="27"/>
        </w:rPr>
        <w:t xml:space="preserve"> (Контур, СКБ Техно, Сделка.РФ, Домклик и др.).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</w:t>
      </w:r>
      <w:r>
        <w:rPr>
          <w:i/>
          <w:sz w:val="27"/>
          <w:szCs w:val="27"/>
        </w:rPr>
        <w:t xml:space="preserve">Используя личный кабинет на сайте Росреестра можно пода</w:t>
      </w:r>
      <w:r>
        <w:rPr>
          <w:i/>
          <w:sz w:val="27"/>
          <w:szCs w:val="27"/>
        </w:rPr>
        <w:t xml:space="preserve">ва</w:t>
      </w:r>
      <w:r>
        <w:rPr>
          <w:i/>
          <w:sz w:val="27"/>
          <w:szCs w:val="27"/>
        </w:rPr>
        <w:t xml:space="preserve">ть заявления об осуществлении любых учетно-регистрационных действий в отношении объектов недвижимого имущества, предусмотренных действующим законодательст</w:t>
      </w:r>
      <w:r>
        <w:rPr>
          <w:i/>
          <w:sz w:val="27"/>
          <w:szCs w:val="27"/>
        </w:rPr>
        <w:t xml:space="preserve">вом,</w:t>
      </w:r>
      <w:r>
        <w:rPr>
          <w:sz w:val="27"/>
          <w:szCs w:val="27"/>
        </w:rPr>
        <w:t xml:space="preserve"> – пояснила </w:t>
      </w:r>
      <w:r>
        <w:rPr>
          <w:b/>
          <w:sz w:val="27"/>
          <w:szCs w:val="27"/>
        </w:rPr>
        <w:t xml:space="preserve">начальник отдела координации и анализа деятельности в учетно-регистрационной сфере Юлия Коваленко.</w:t>
      </w:r>
      <w:r>
        <w:rPr>
          <w:sz w:val="27"/>
          <w:szCs w:val="27"/>
        </w:rPr>
        <w:t xml:space="preserve"> – </w:t>
      </w:r>
      <w:r>
        <w:rPr>
          <w:i/>
          <w:sz w:val="27"/>
          <w:szCs w:val="27"/>
        </w:rPr>
        <w:t xml:space="preserve">В отношении отдельны</w:t>
      </w:r>
      <w:r>
        <w:rPr>
          <w:i/>
          <w:sz w:val="27"/>
          <w:szCs w:val="27"/>
        </w:rPr>
        <w:t xml:space="preserve">х видов сделок с недвижимостью </w:t>
      </w:r>
      <w:r>
        <w:rPr>
          <w:i/>
          <w:sz w:val="27"/>
          <w:szCs w:val="27"/>
        </w:rPr>
        <w:t xml:space="preserve">(</w:t>
      </w:r>
      <w:r>
        <w:rPr>
          <w:i/>
          <w:sz w:val="27"/>
          <w:szCs w:val="27"/>
        </w:rPr>
        <w:t xml:space="preserve">купля-продажа, договоры долевого участия в строительстве и ипотека</w:t>
      </w:r>
      <w:r>
        <w:rPr>
          <w:i/>
          <w:sz w:val="27"/>
          <w:szCs w:val="27"/>
        </w:rPr>
        <w:t xml:space="preserve">)</w:t>
      </w:r>
      <w:r>
        <w:rPr>
          <w:i/>
          <w:sz w:val="27"/>
          <w:szCs w:val="27"/>
        </w:rPr>
        <w:t xml:space="preserve"> на сайте Росреестра реализована возможность представления документов физическим и юридическим лицам из своих личных кабинетов сторон сделки в рамках одного взаимосвязанного обращения. В таком случае заявления заполняются и подписываются с прикреплением необходимых документов одной стороной сделки, а затем направляются для заполнения и подписания второй стороне. Таким образом, данный сервис позволяет сторонам сделки представлять заявления как находясь в различных местах, так и в различные промежутки времени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  <w:t xml:space="preserve">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заседани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 Общественного совета </w:t>
      </w:r>
      <w:r>
        <w:rPr>
          <w:sz w:val="27"/>
          <w:szCs w:val="27"/>
        </w:rPr>
        <w:t xml:space="preserve">при Управлении Росреестра </w:t>
      </w:r>
      <w:r>
        <w:rPr>
          <w:sz w:val="27"/>
          <w:szCs w:val="27"/>
        </w:rPr>
        <w:t xml:space="preserve">б</w:t>
      </w:r>
      <w:r>
        <w:rPr>
          <w:sz w:val="27"/>
          <w:szCs w:val="27"/>
        </w:rPr>
        <w:t xml:space="preserve">ыли </w:t>
      </w:r>
      <w:r>
        <w:rPr>
          <w:sz w:val="27"/>
          <w:szCs w:val="27"/>
        </w:rPr>
        <w:t xml:space="preserve">также </w:t>
      </w:r>
      <w:r>
        <w:rPr>
          <w:sz w:val="27"/>
          <w:szCs w:val="27"/>
        </w:rPr>
        <w:t xml:space="preserve">озвучены вопросы проведения государственной регистрации на основании судебных решений и актов, внесения записей в Единый государственный реестр н</w:t>
      </w:r>
      <w:r>
        <w:rPr>
          <w:sz w:val="27"/>
          <w:szCs w:val="27"/>
        </w:rPr>
        <w:t xml:space="preserve">едвижимости о правах требования.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uiPriority w:val="34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2559</Characters>
  <CharactersWithSpaces>3001</CharactersWithSpaces>
  <DocSecurity>0</DocSecurity>
  <HyperlinksChanged>false</HyperlinksChanged>
  <Lines>21</Lines>
  <Pages>1</Pages>
  <Paragraphs>6</Paragraphs>
  <ScaleCrop>false</ScaleCrop>
  <SharedDoc>false</SharedDoc>
  <Template>Normal</Template>
  <Words>448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45</cp:revision>
  <dcterms:created xsi:type="dcterms:W3CDTF">2024-08-16T10:03:00Z</dcterms:created>
  <dcterms:modified xsi:type="dcterms:W3CDTF">2024-12-03T07:34:00Z</dcterms:modified>
  <cp:version>983040</cp:version>
</cp:coreProperties>
</file>